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F40F" w14:textId="03559D62" w:rsidR="00A330CA" w:rsidRPr="00A330CA" w:rsidRDefault="00A330CA" w:rsidP="00A330CA">
      <w:pPr>
        <w:pStyle w:val="Ttulo1"/>
        <w:rPr>
          <w:b/>
          <w:bCs/>
        </w:rPr>
      </w:pPr>
      <w:r w:rsidRPr="00A330CA">
        <w:rPr>
          <w:b/>
          <w:bCs/>
        </w:rPr>
        <w:t>Guía sobre el nuevo sistema de facturación electrónica obligatoria</w:t>
      </w:r>
      <w:r>
        <w:rPr>
          <w:b/>
          <w:bCs/>
        </w:rPr>
        <w:t>.</w:t>
      </w:r>
    </w:p>
    <w:p w14:paraId="7766709F" w14:textId="77777777" w:rsidR="00A330CA" w:rsidRDefault="00A330CA" w:rsidP="00A330CA"/>
    <w:p w14:paraId="706F27A8" w14:textId="0C8F7ACB" w:rsidR="00A330CA" w:rsidRPr="00A330CA" w:rsidRDefault="00A330CA" w:rsidP="00A330CA">
      <w:r w:rsidRPr="00A330CA">
        <w:t xml:space="preserve">Esta guía técnica y operativa analiza las disposiciones del </w:t>
      </w:r>
      <w:r w:rsidRPr="00A330CA">
        <w:rPr>
          <w:b/>
          <w:bCs/>
        </w:rPr>
        <w:t>Real Decreto 238/2026, de 25 de marzo</w:t>
      </w:r>
      <w:r w:rsidRPr="00A330CA">
        <w:t>, que desarrolla el sistema de facturación electrónica obligatoria en España. El objetivo de esta norma es universalizar la digitalización en las relaciones comerciales entre empresas (B2B) y dotar a la Administración de herramientas precisas para combatir la morosidad comercial.</w:t>
      </w:r>
    </w:p>
    <w:p w14:paraId="73514679" w14:textId="77777777" w:rsidR="00A330CA" w:rsidRPr="00A330CA" w:rsidRDefault="00A330CA" w:rsidP="00A330CA">
      <w:r w:rsidRPr="00A330CA">
        <w:t>A continuación, se detallan todas las medidas que afectan directamente a empresarios, autónomos y profesionales.</w:t>
      </w:r>
    </w:p>
    <w:p w14:paraId="10098646" w14:textId="77777777" w:rsidR="00A330CA" w:rsidRPr="00A330CA" w:rsidRDefault="00A330CA" w:rsidP="00A330CA">
      <w:pPr>
        <w:rPr>
          <w:b/>
          <w:bCs/>
        </w:rPr>
      </w:pPr>
      <w:r w:rsidRPr="00A330CA">
        <w:rPr>
          <w:b/>
          <w:bCs/>
        </w:rPr>
        <w:t>Ámbito de aplicación y operaciones obligatorias</w:t>
      </w:r>
    </w:p>
    <w:p w14:paraId="5870D7B6" w14:textId="77777777" w:rsidR="00A330CA" w:rsidRPr="00A330CA" w:rsidRDefault="00A330CA" w:rsidP="00A330CA">
      <w:r w:rsidRPr="00A330CA">
        <w:t>La obligación de emitir y recibir facturas electrónicas se aplica a todos los empresarios y profesionales que operen en territorio español.</w:t>
      </w:r>
    </w:p>
    <w:p w14:paraId="7C10485D" w14:textId="77777777" w:rsidR="00A330CA" w:rsidRPr="00A330CA" w:rsidRDefault="00A330CA" w:rsidP="00A330CA">
      <w:pPr>
        <w:numPr>
          <w:ilvl w:val="0"/>
          <w:numId w:val="1"/>
        </w:numPr>
      </w:pPr>
      <w:r w:rsidRPr="00A330CA">
        <w:rPr>
          <w:b/>
          <w:bCs/>
        </w:rPr>
        <w:t>Operaciones incluidas:</w:t>
      </w:r>
      <w:r w:rsidRPr="00A330CA">
        <w:t xml:space="preserve"> Todas aquellas realizadas entre empresarios o profesionales (B2B) siempre que el destinatario tenga en España su sede de actividad, un establecimiento permanente o su residencia habitual.</w:t>
      </w:r>
    </w:p>
    <w:p w14:paraId="17B52387" w14:textId="77777777" w:rsidR="00A330CA" w:rsidRPr="00A330CA" w:rsidRDefault="00A330CA" w:rsidP="00A330CA">
      <w:pPr>
        <w:numPr>
          <w:ilvl w:val="0"/>
          <w:numId w:val="1"/>
        </w:numPr>
      </w:pPr>
      <w:r w:rsidRPr="00A330CA">
        <w:rPr>
          <w:b/>
          <w:bCs/>
        </w:rPr>
        <w:t>Operaciones excluidas:</w:t>
      </w:r>
      <w:r w:rsidRPr="00A330CA">
        <w:t xml:space="preserve"> Quedan fuera de esta obligación las facturas simplificadas (los tradicionales </w:t>
      </w:r>
      <w:proofErr w:type="gramStart"/>
      <w:r w:rsidRPr="00A330CA">
        <w:t>tickets</w:t>
      </w:r>
      <w:proofErr w:type="gramEnd"/>
      <w:r w:rsidRPr="00A330CA">
        <w:t>), a menos que sean facturas simplificadas cualificadas (aquellas que identifican al destinatario). También se exceptúan operaciones de sectores específicos con sistemas propios, como el mercado eléctrico, el del gas o los sistemas de liquidación de billetes aéreos (IATA).</w:t>
      </w:r>
    </w:p>
    <w:p w14:paraId="1B20C2BE" w14:textId="77777777" w:rsidR="00A330CA" w:rsidRPr="00A330CA" w:rsidRDefault="00A330CA" w:rsidP="00A330CA">
      <w:pPr>
        <w:rPr>
          <w:b/>
          <w:bCs/>
        </w:rPr>
      </w:pPr>
      <w:r w:rsidRPr="00A330CA">
        <w:rPr>
          <w:b/>
          <w:bCs/>
        </w:rPr>
        <w:t>El Sistema Español de Factura Electrónica</w:t>
      </w:r>
    </w:p>
    <w:p w14:paraId="52DBBE8D" w14:textId="77777777" w:rsidR="00A330CA" w:rsidRPr="00A330CA" w:rsidRDefault="00A330CA" w:rsidP="00A330CA">
      <w:r w:rsidRPr="00A330CA">
        <w:t>La normativa establece un modelo híbrido que permite a las empresas elegir cómo gestionar su facturación. El sistema se compone de dos vías principales que deben ser interoperables entre sí.</w:t>
      </w:r>
    </w:p>
    <w:p w14:paraId="532A04A8" w14:textId="77777777" w:rsidR="00A330CA" w:rsidRPr="00A330CA" w:rsidRDefault="00A330CA" w:rsidP="00A330CA">
      <w:pPr>
        <w:rPr>
          <w:b/>
          <w:bCs/>
        </w:rPr>
      </w:pPr>
      <w:r w:rsidRPr="00A330CA">
        <w:rPr>
          <w:b/>
          <w:bCs/>
        </w:rPr>
        <w:t>La Solución Pública de Facturación Electrónica</w:t>
      </w:r>
    </w:p>
    <w:p w14:paraId="0E018E48" w14:textId="77777777" w:rsidR="00A330CA" w:rsidRPr="00A330CA" w:rsidRDefault="00A330CA" w:rsidP="00A330CA">
      <w:r w:rsidRPr="00A330CA">
        <w:t>Gestionada por la Agencia Estatal de Administración Tributaria (AEAT), funciona como un repositorio universal.</w:t>
      </w:r>
    </w:p>
    <w:p w14:paraId="6CBC0D30" w14:textId="77777777" w:rsidR="00A330CA" w:rsidRPr="00A330CA" w:rsidRDefault="00A330CA" w:rsidP="00A330CA">
      <w:pPr>
        <w:numPr>
          <w:ilvl w:val="0"/>
          <w:numId w:val="2"/>
        </w:numPr>
      </w:pPr>
      <w:r w:rsidRPr="00A330CA">
        <w:rPr>
          <w:b/>
          <w:bCs/>
        </w:rPr>
        <w:t>Carácter gratuito:</w:t>
      </w:r>
      <w:r w:rsidRPr="00A330CA">
        <w:t xml:space="preserve"> Su uso no tendrá coste para el empresario o profesional.</w:t>
      </w:r>
    </w:p>
    <w:p w14:paraId="0552CAA6" w14:textId="77777777" w:rsidR="00A330CA" w:rsidRPr="00A330CA" w:rsidRDefault="00A330CA" w:rsidP="00A330CA">
      <w:pPr>
        <w:numPr>
          <w:ilvl w:val="0"/>
          <w:numId w:val="2"/>
        </w:numPr>
      </w:pPr>
      <w:r w:rsidRPr="00A330CA">
        <w:rPr>
          <w:b/>
          <w:bCs/>
        </w:rPr>
        <w:t>Uso por defecto:</w:t>
      </w:r>
      <w:r w:rsidRPr="00A330CA">
        <w:t xml:space="preserve"> Se entenderá que una empresa opta por esta vía si no ha pactado expresamente con sus proveedores el uso de una plataforma privada.</w:t>
      </w:r>
    </w:p>
    <w:p w14:paraId="5434FE79" w14:textId="77777777" w:rsidR="00A330CA" w:rsidRPr="00A330CA" w:rsidRDefault="00A330CA" w:rsidP="00A330CA">
      <w:pPr>
        <w:numPr>
          <w:ilvl w:val="0"/>
          <w:numId w:val="2"/>
        </w:numPr>
      </w:pPr>
      <w:r w:rsidRPr="00A330CA">
        <w:rPr>
          <w:b/>
          <w:bCs/>
        </w:rPr>
        <w:t>Formulario gratuito:</w:t>
      </w:r>
      <w:r w:rsidRPr="00A330CA">
        <w:t xml:space="preserve"> La AEAT pondrá a disposición de los autónomos y pequeñas empresas un formulario o aplicación gratuita para generar estas facturas.</w:t>
      </w:r>
    </w:p>
    <w:p w14:paraId="10133C54" w14:textId="77777777" w:rsidR="00A330CA" w:rsidRPr="00A330CA" w:rsidRDefault="00A330CA" w:rsidP="00A330CA">
      <w:pPr>
        <w:rPr>
          <w:b/>
          <w:bCs/>
        </w:rPr>
      </w:pPr>
      <w:r w:rsidRPr="00A330CA">
        <w:rPr>
          <w:b/>
          <w:bCs/>
        </w:rPr>
        <w:t>Plataformas Privadas de Intercambio</w:t>
      </w:r>
    </w:p>
    <w:p w14:paraId="4CFE2A39" w14:textId="77777777" w:rsidR="00A330CA" w:rsidRPr="00A330CA" w:rsidRDefault="00A330CA" w:rsidP="00A330CA">
      <w:r w:rsidRPr="00A330CA">
        <w:t>Son los programas o servicios de facturación contratados a terceros.</w:t>
      </w:r>
    </w:p>
    <w:p w14:paraId="4DA6A007" w14:textId="77777777" w:rsidR="00A330CA" w:rsidRPr="00A330CA" w:rsidRDefault="00A330CA" w:rsidP="00A330CA">
      <w:pPr>
        <w:numPr>
          <w:ilvl w:val="0"/>
          <w:numId w:val="3"/>
        </w:numPr>
      </w:pPr>
      <w:r w:rsidRPr="00A330CA">
        <w:rPr>
          <w:b/>
          <w:bCs/>
        </w:rPr>
        <w:lastRenderedPageBreak/>
        <w:t>Obligación de "Copia Fiel":</w:t>
      </w:r>
      <w:r w:rsidRPr="00A330CA">
        <w:t xml:space="preserve"> Las empresas que utilicen plataformas privadas deben remitir obligatoriamente una copia exacta de cada factura a la solución pública de la AEAT en el momento de su emisión.</w:t>
      </w:r>
    </w:p>
    <w:p w14:paraId="0C5605C9" w14:textId="77777777" w:rsidR="00A330CA" w:rsidRPr="00A330CA" w:rsidRDefault="00A330CA" w:rsidP="00A330CA">
      <w:pPr>
        <w:numPr>
          <w:ilvl w:val="0"/>
          <w:numId w:val="3"/>
        </w:numPr>
      </w:pPr>
      <w:r w:rsidRPr="00A330CA">
        <w:rPr>
          <w:b/>
          <w:bCs/>
        </w:rPr>
        <w:t>Interconexión obligatoria:</w:t>
      </w:r>
      <w:r w:rsidRPr="00A330CA">
        <w:t xml:space="preserve"> Los proveedores de estas plataformas deben permitir el intercambio de facturas con cualquier otra plataforma del mercado si el cliente lo solicita, sin cobrar costes adicionales por dicha conexión.</w:t>
      </w:r>
    </w:p>
    <w:p w14:paraId="5B28B04F" w14:textId="77777777" w:rsidR="00A330CA" w:rsidRPr="00A330CA" w:rsidRDefault="00A330CA" w:rsidP="00A330CA">
      <w:pPr>
        <w:rPr>
          <w:b/>
          <w:bCs/>
        </w:rPr>
      </w:pPr>
      <w:r w:rsidRPr="00A330CA">
        <w:rPr>
          <w:b/>
          <w:bCs/>
        </w:rPr>
        <w:t>Obligaciones de información sobre el estado de las facturas</w:t>
      </w:r>
    </w:p>
    <w:p w14:paraId="43009AB2" w14:textId="77777777" w:rsidR="00A330CA" w:rsidRPr="00A330CA" w:rsidRDefault="00A330CA" w:rsidP="00A330CA">
      <w:r w:rsidRPr="00A330CA">
        <w:t>Este es el punto de mayor impacto operativo para el día a día de un negocio. El sistema no solo exige el envío de la factura, sino también el reporte de su ciclo de vida.</w:t>
      </w:r>
    </w:p>
    <w:p w14:paraId="093B69E5" w14:textId="77777777" w:rsidR="00A330CA" w:rsidRPr="00A330CA" w:rsidRDefault="00A330CA" w:rsidP="00A330CA">
      <w:pPr>
        <w:rPr>
          <w:b/>
          <w:bCs/>
        </w:rPr>
      </w:pPr>
      <w:r w:rsidRPr="00A330CA">
        <w:rPr>
          <w:b/>
          <w:bCs/>
        </w:rPr>
        <w:t>Estados de comunicación obligatoria</w:t>
      </w:r>
    </w:p>
    <w:p w14:paraId="475A37C1" w14:textId="77777777" w:rsidR="00A330CA" w:rsidRPr="00A330CA" w:rsidRDefault="00A330CA" w:rsidP="00A330CA">
      <w:r w:rsidRPr="00A330CA">
        <w:t>El destinatario de una factura electrónica está obligado a informar al emisor (y a la solución pública) sobre:</w:t>
      </w:r>
    </w:p>
    <w:p w14:paraId="6B19BE7A" w14:textId="77777777" w:rsidR="00A330CA" w:rsidRPr="00A330CA" w:rsidRDefault="00A330CA" w:rsidP="00A330CA">
      <w:pPr>
        <w:numPr>
          <w:ilvl w:val="0"/>
          <w:numId w:val="4"/>
        </w:numPr>
      </w:pPr>
      <w:r w:rsidRPr="00A330CA">
        <w:rPr>
          <w:b/>
          <w:bCs/>
        </w:rPr>
        <w:t>Aceptación o rechazo comercial:</w:t>
      </w:r>
      <w:r w:rsidRPr="00A330CA">
        <w:t xml:space="preserve"> Si la factura es correcta o si se rechaza por errores.</w:t>
      </w:r>
    </w:p>
    <w:p w14:paraId="55AD4694" w14:textId="77777777" w:rsidR="00A330CA" w:rsidRPr="00A330CA" w:rsidRDefault="00A330CA" w:rsidP="00A330CA">
      <w:pPr>
        <w:numPr>
          <w:ilvl w:val="0"/>
          <w:numId w:val="4"/>
        </w:numPr>
      </w:pPr>
      <w:r w:rsidRPr="00A330CA">
        <w:rPr>
          <w:b/>
          <w:bCs/>
        </w:rPr>
        <w:t>Pago efectivo completo:</w:t>
      </w:r>
      <w:r w:rsidRPr="00A330CA">
        <w:t xml:space="preserve"> La fecha exacta en la que se ha cobrado el total de la factura.</w:t>
      </w:r>
    </w:p>
    <w:p w14:paraId="73798A22" w14:textId="77777777" w:rsidR="00A330CA" w:rsidRPr="00A330CA" w:rsidRDefault="00A330CA" w:rsidP="00A330CA">
      <w:pPr>
        <w:rPr>
          <w:b/>
          <w:bCs/>
        </w:rPr>
      </w:pPr>
      <w:r w:rsidRPr="00A330CA">
        <w:rPr>
          <w:b/>
          <w:bCs/>
        </w:rPr>
        <w:t>Plazos de reporte</w:t>
      </w:r>
    </w:p>
    <w:p w14:paraId="18B5298C" w14:textId="77777777" w:rsidR="00A330CA" w:rsidRPr="00A330CA" w:rsidRDefault="00A330CA" w:rsidP="00A330CA">
      <w:r w:rsidRPr="00A330CA">
        <w:t xml:space="preserve">La comunicación de estos estados debe realizarse en un plazo máximo de </w:t>
      </w:r>
      <w:r w:rsidRPr="00A330CA">
        <w:rPr>
          <w:b/>
          <w:bCs/>
        </w:rPr>
        <w:t>4 días naturales</w:t>
      </w:r>
      <w:r w:rsidRPr="00A330CA">
        <w:t xml:space="preserve"> desde que se produzca el evento (aceptación, rechazo o pago). En este cómputo se excluyen sábados, domingos y festivos nacionales.</w:t>
      </w:r>
    </w:p>
    <w:p w14:paraId="7907A89D" w14:textId="77777777" w:rsidR="00A330CA" w:rsidRPr="00A330CA" w:rsidRDefault="00A330CA" w:rsidP="00A330CA">
      <w:pPr>
        <w:rPr>
          <w:b/>
          <w:bCs/>
        </w:rPr>
      </w:pPr>
      <w:r w:rsidRPr="00A330CA">
        <w:rPr>
          <w:b/>
          <w:bCs/>
        </w:rPr>
        <w:t>Estados voluntarios</w:t>
      </w:r>
    </w:p>
    <w:p w14:paraId="35DC7730" w14:textId="77777777" w:rsidR="00A330CA" w:rsidRPr="00A330CA" w:rsidRDefault="00A330CA" w:rsidP="00A330CA">
      <w:r w:rsidRPr="00A330CA">
        <w:t>De forma opcional, las empresas podrán informar sobre pagos parciales, cesiones de facturas a terceros (</w:t>
      </w:r>
      <w:proofErr w:type="spellStart"/>
      <w:r w:rsidRPr="00A330CA">
        <w:t>factoring</w:t>
      </w:r>
      <w:proofErr w:type="spellEnd"/>
      <w:r w:rsidRPr="00A330CA">
        <w:t>) o aceptaciones parciales, siempre que sus sistemas técnicos lo permitan.</w:t>
      </w:r>
    </w:p>
    <w:p w14:paraId="65D5327E" w14:textId="77777777" w:rsidR="00A330CA" w:rsidRPr="00A330CA" w:rsidRDefault="00A330CA" w:rsidP="00A330CA">
      <w:pPr>
        <w:rPr>
          <w:b/>
          <w:bCs/>
        </w:rPr>
      </w:pPr>
      <w:r w:rsidRPr="00A330CA">
        <w:rPr>
          <w:b/>
          <w:bCs/>
        </w:rPr>
        <w:t>Requisitos técnicos, formatos y seguridad</w:t>
      </w:r>
    </w:p>
    <w:p w14:paraId="3EFF059B" w14:textId="77777777" w:rsidR="00A330CA" w:rsidRPr="00A330CA" w:rsidRDefault="00A330CA" w:rsidP="00A330CA">
      <w:r w:rsidRPr="00A330CA">
        <w:t>Para garantizar que todas las facturas puedan ser leídas por cualquier sistema, la norma exige el cumplimiento de estándares europeos (norma EN16931).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gridCol w:w="6941"/>
      </w:tblGrid>
      <w:tr w:rsidR="00A330CA" w:rsidRPr="00A330CA" w14:paraId="513B263F" w14:textId="77777777">
        <w:trPr>
          <w:tblHeader/>
          <w:tblCellSpacing w:w="15" w:type="dxa"/>
        </w:trPr>
        <w:tc>
          <w:tcPr>
            <w:tcW w:w="0" w:type="auto"/>
            <w:vAlign w:val="center"/>
            <w:hideMark/>
          </w:tcPr>
          <w:p w14:paraId="5886F27C" w14:textId="77777777" w:rsidR="00A330CA" w:rsidRPr="00A330CA" w:rsidRDefault="00A330CA" w:rsidP="00A330CA">
            <w:pPr>
              <w:rPr>
                <w:b/>
                <w:bCs/>
              </w:rPr>
            </w:pPr>
            <w:r w:rsidRPr="00A330CA">
              <w:rPr>
                <w:b/>
                <w:bCs/>
              </w:rPr>
              <w:t>Requisito</w:t>
            </w:r>
          </w:p>
        </w:tc>
        <w:tc>
          <w:tcPr>
            <w:tcW w:w="0" w:type="auto"/>
            <w:vAlign w:val="center"/>
            <w:hideMark/>
          </w:tcPr>
          <w:p w14:paraId="4C115D75" w14:textId="77777777" w:rsidR="00A330CA" w:rsidRPr="00A330CA" w:rsidRDefault="00A330CA" w:rsidP="00A330CA">
            <w:pPr>
              <w:rPr>
                <w:b/>
                <w:bCs/>
              </w:rPr>
            </w:pPr>
            <w:r w:rsidRPr="00A330CA">
              <w:rPr>
                <w:b/>
                <w:bCs/>
              </w:rPr>
              <w:t>Detalle Técnico</w:t>
            </w:r>
          </w:p>
        </w:tc>
      </w:tr>
      <w:tr w:rsidR="00A330CA" w:rsidRPr="00A330CA" w14:paraId="1F748688" w14:textId="77777777">
        <w:trPr>
          <w:tblCellSpacing w:w="15" w:type="dxa"/>
        </w:trPr>
        <w:tc>
          <w:tcPr>
            <w:tcW w:w="0" w:type="auto"/>
            <w:vAlign w:val="center"/>
            <w:hideMark/>
          </w:tcPr>
          <w:p w14:paraId="6537296F" w14:textId="77777777" w:rsidR="00A330CA" w:rsidRPr="00A330CA" w:rsidRDefault="00A330CA" w:rsidP="00A330CA">
            <w:r w:rsidRPr="00A330CA">
              <w:rPr>
                <w:b/>
                <w:bCs/>
              </w:rPr>
              <w:t>Formatos (Sintaxis)</w:t>
            </w:r>
          </w:p>
        </w:tc>
        <w:tc>
          <w:tcPr>
            <w:tcW w:w="0" w:type="auto"/>
            <w:vAlign w:val="center"/>
            <w:hideMark/>
          </w:tcPr>
          <w:p w14:paraId="103D6C68" w14:textId="77777777" w:rsidR="00A330CA" w:rsidRPr="00A330CA" w:rsidRDefault="00A330CA" w:rsidP="00A330CA">
            <w:r w:rsidRPr="00A330CA">
              <w:t xml:space="preserve">Se admiten exclusivamente: UBL, </w:t>
            </w:r>
            <w:proofErr w:type="spellStart"/>
            <w:r w:rsidRPr="00A330CA">
              <w:t>Facturae</w:t>
            </w:r>
            <w:proofErr w:type="spellEnd"/>
            <w:r w:rsidRPr="00A330CA">
              <w:t xml:space="preserve">, EDIFACT y CII (Cross </w:t>
            </w:r>
            <w:proofErr w:type="spellStart"/>
            <w:r w:rsidRPr="00A330CA">
              <w:t>Industry</w:t>
            </w:r>
            <w:proofErr w:type="spellEnd"/>
            <w:r w:rsidRPr="00A330CA">
              <w:t xml:space="preserve"> </w:t>
            </w:r>
            <w:proofErr w:type="spellStart"/>
            <w:r w:rsidRPr="00A330CA">
              <w:t>Invoice</w:t>
            </w:r>
            <w:proofErr w:type="spellEnd"/>
            <w:r w:rsidRPr="00A330CA">
              <w:t>).</w:t>
            </w:r>
          </w:p>
        </w:tc>
      </w:tr>
      <w:tr w:rsidR="00A330CA" w:rsidRPr="00A330CA" w14:paraId="2106B957" w14:textId="77777777">
        <w:trPr>
          <w:tblCellSpacing w:w="15" w:type="dxa"/>
        </w:trPr>
        <w:tc>
          <w:tcPr>
            <w:tcW w:w="0" w:type="auto"/>
            <w:vAlign w:val="center"/>
            <w:hideMark/>
          </w:tcPr>
          <w:p w14:paraId="5459E473" w14:textId="77777777" w:rsidR="00A330CA" w:rsidRPr="00A330CA" w:rsidRDefault="00A330CA" w:rsidP="00A330CA">
            <w:r w:rsidRPr="00A330CA">
              <w:rPr>
                <w:b/>
                <w:bCs/>
              </w:rPr>
              <w:t>Identificación</w:t>
            </w:r>
          </w:p>
        </w:tc>
        <w:tc>
          <w:tcPr>
            <w:tcW w:w="0" w:type="auto"/>
            <w:vAlign w:val="center"/>
            <w:hideMark/>
          </w:tcPr>
          <w:p w14:paraId="179DEFD7" w14:textId="77777777" w:rsidR="00A330CA" w:rsidRPr="00A330CA" w:rsidRDefault="00A330CA" w:rsidP="00A330CA">
            <w:r w:rsidRPr="00A330CA">
              <w:t xml:space="preserve">Cada factura tendrá un </w:t>
            </w:r>
            <w:r w:rsidRPr="00A330CA">
              <w:rPr>
                <w:b/>
                <w:bCs/>
              </w:rPr>
              <w:t>Código Único</w:t>
            </w:r>
            <w:r w:rsidRPr="00A330CA">
              <w:t xml:space="preserve"> que incluirá el NIF del emisor, número de serie, fecha y número de factura.</w:t>
            </w:r>
          </w:p>
        </w:tc>
      </w:tr>
      <w:tr w:rsidR="00A330CA" w:rsidRPr="00A330CA" w14:paraId="6A246E50" w14:textId="77777777">
        <w:trPr>
          <w:tblCellSpacing w:w="15" w:type="dxa"/>
        </w:trPr>
        <w:tc>
          <w:tcPr>
            <w:tcW w:w="0" w:type="auto"/>
            <w:vAlign w:val="center"/>
            <w:hideMark/>
          </w:tcPr>
          <w:p w14:paraId="1A00F4DB" w14:textId="77777777" w:rsidR="00A330CA" w:rsidRPr="00A330CA" w:rsidRDefault="00A330CA" w:rsidP="00A330CA">
            <w:r w:rsidRPr="00A330CA">
              <w:rPr>
                <w:b/>
                <w:bCs/>
              </w:rPr>
              <w:t>Firma Electrónica</w:t>
            </w:r>
          </w:p>
        </w:tc>
        <w:tc>
          <w:tcPr>
            <w:tcW w:w="0" w:type="auto"/>
            <w:vAlign w:val="center"/>
            <w:hideMark/>
          </w:tcPr>
          <w:p w14:paraId="31BE3C84" w14:textId="77777777" w:rsidR="00A330CA" w:rsidRPr="00A330CA" w:rsidRDefault="00A330CA" w:rsidP="00A330CA">
            <w:r w:rsidRPr="00A330CA">
              <w:t xml:space="preserve">Es obligatorio el uso de </w:t>
            </w:r>
            <w:r w:rsidRPr="00A330CA">
              <w:rPr>
                <w:b/>
                <w:bCs/>
              </w:rPr>
              <w:t>Firma Electrónica Avanzada</w:t>
            </w:r>
            <w:r w:rsidRPr="00A330CA">
              <w:t xml:space="preserve"> para garantizar que el documento no ha sido alterado y que el emisor es quien dice ser.</w:t>
            </w:r>
          </w:p>
        </w:tc>
      </w:tr>
      <w:tr w:rsidR="00A330CA" w:rsidRPr="00A330CA" w14:paraId="781129FB" w14:textId="77777777">
        <w:trPr>
          <w:tblCellSpacing w:w="15" w:type="dxa"/>
        </w:trPr>
        <w:tc>
          <w:tcPr>
            <w:tcW w:w="0" w:type="auto"/>
            <w:vAlign w:val="center"/>
            <w:hideMark/>
          </w:tcPr>
          <w:p w14:paraId="12A8F584" w14:textId="77777777" w:rsidR="00A330CA" w:rsidRPr="00A330CA" w:rsidRDefault="00A330CA" w:rsidP="00A330CA">
            <w:r w:rsidRPr="00A330CA">
              <w:rPr>
                <w:b/>
                <w:bCs/>
              </w:rPr>
              <w:t>Legibilidad</w:t>
            </w:r>
          </w:p>
        </w:tc>
        <w:tc>
          <w:tcPr>
            <w:tcW w:w="0" w:type="auto"/>
            <w:vAlign w:val="center"/>
            <w:hideMark/>
          </w:tcPr>
          <w:p w14:paraId="76DF857E" w14:textId="77777777" w:rsidR="00A330CA" w:rsidRPr="00A330CA" w:rsidRDefault="00A330CA" w:rsidP="00A330CA">
            <w:r w:rsidRPr="00A330CA">
              <w:t>El emisor debe garantizar la legibilidad de la factura durante todo el periodo legal de conservación.</w:t>
            </w:r>
          </w:p>
        </w:tc>
      </w:tr>
    </w:tbl>
    <w:p w14:paraId="45848216" w14:textId="77777777" w:rsidR="00A330CA" w:rsidRPr="00A330CA" w:rsidRDefault="00A330CA" w:rsidP="00A330CA">
      <w:r w:rsidRPr="00A330CA">
        <w:t>Exportar a Hojas de cálculo</w:t>
      </w:r>
    </w:p>
    <w:p w14:paraId="077F623C" w14:textId="77777777" w:rsidR="00A330CA" w:rsidRPr="00A330CA" w:rsidRDefault="00A330CA" w:rsidP="00A330CA">
      <w:pPr>
        <w:rPr>
          <w:b/>
          <w:bCs/>
        </w:rPr>
      </w:pPr>
      <w:r w:rsidRPr="00A330CA">
        <w:rPr>
          <w:b/>
          <w:bCs/>
        </w:rPr>
        <w:t>Calendario de implantación y periodos transitorios</w:t>
      </w:r>
    </w:p>
    <w:p w14:paraId="3CE83BEA" w14:textId="77777777" w:rsidR="00A330CA" w:rsidRPr="00A330CA" w:rsidRDefault="00A330CA" w:rsidP="00A330CA">
      <w:r w:rsidRPr="00A330CA">
        <w:lastRenderedPageBreak/>
        <w:t>La aplicación de estas medidas no es inmediata para todos los perfiles, sino que se divide en fases según el volumen de facturación anual. El cómputo de los meses se inicia una vez se publique la Orden Ministerial que detalle los aspectos técnicos finales.</w:t>
      </w:r>
    </w:p>
    <w:p w14:paraId="344F489D" w14:textId="77777777" w:rsidR="00A330CA" w:rsidRPr="00A330CA" w:rsidRDefault="00A330CA" w:rsidP="00A330CA">
      <w:pPr>
        <w:numPr>
          <w:ilvl w:val="0"/>
          <w:numId w:val="5"/>
        </w:numPr>
      </w:pPr>
      <w:r w:rsidRPr="00A330CA">
        <w:rPr>
          <w:b/>
          <w:bCs/>
        </w:rPr>
        <w:t>Fase 1 (12 meses después):</w:t>
      </w:r>
      <w:r w:rsidRPr="00A330CA">
        <w:t xml:space="preserve"> Obligatorio para empresarios y profesionales con una facturación anual superior a </w:t>
      </w:r>
      <w:r w:rsidRPr="00A330CA">
        <w:rPr>
          <w:b/>
          <w:bCs/>
        </w:rPr>
        <w:t>8 millones de euros</w:t>
      </w:r>
      <w:r w:rsidRPr="00A330CA">
        <w:t>.</w:t>
      </w:r>
    </w:p>
    <w:p w14:paraId="60A1893F" w14:textId="77777777" w:rsidR="00A330CA" w:rsidRPr="00A330CA" w:rsidRDefault="00A330CA" w:rsidP="00A330CA">
      <w:pPr>
        <w:numPr>
          <w:ilvl w:val="1"/>
          <w:numId w:val="5"/>
        </w:numPr>
      </w:pPr>
      <w:r w:rsidRPr="00A330CA">
        <w:rPr>
          <w:i/>
          <w:iCs/>
        </w:rPr>
        <w:t>Nota importante:</w:t>
      </w:r>
      <w:r w:rsidRPr="00A330CA">
        <w:t xml:space="preserve"> Durante el primer año de su obligación, estas grandes empresas deberán adjuntar un </w:t>
      </w:r>
      <w:r w:rsidRPr="00A330CA">
        <w:rPr>
          <w:b/>
          <w:bCs/>
        </w:rPr>
        <w:t>PDF</w:t>
      </w:r>
      <w:r w:rsidRPr="00A330CA">
        <w:t xml:space="preserve"> a sus facturas electrónicas para facilitar la lectura a los pequeños proveedores que aún no estén integrados en el sistema.</w:t>
      </w:r>
    </w:p>
    <w:p w14:paraId="301B2A67" w14:textId="77777777" w:rsidR="00A330CA" w:rsidRPr="00A330CA" w:rsidRDefault="00A330CA" w:rsidP="00A330CA">
      <w:pPr>
        <w:numPr>
          <w:ilvl w:val="0"/>
          <w:numId w:val="5"/>
        </w:numPr>
      </w:pPr>
      <w:r w:rsidRPr="00A330CA">
        <w:rPr>
          <w:b/>
          <w:bCs/>
        </w:rPr>
        <w:t>Fase 2 (24 meses después):</w:t>
      </w:r>
      <w:r w:rsidRPr="00A330CA">
        <w:t xml:space="preserve"> Obligatorio para el resto de </w:t>
      </w:r>
      <w:proofErr w:type="gramStart"/>
      <w:r w:rsidRPr="00A330CA">
        <w:t>empresarios</w:t>
      </w:r>
      <w:proofErr w:type="gramEnd"/>
      <w:r w:rsidRPr="00A330CA">
        <w:t xml:space="preserve"> y profesionales (pymes y autónomos).</w:t>
      </w:r>
    </w:p>
    <w:p w14:paraId="1D367634" w14:textId="77777777" w:rsidR="00A330CA" w:rsidRPr="00A330CA" w:rsidRDefault="00A330CA" w:rsidP="00A330CA">
      <w:pPr>
        <w:numPr>
          <w:ilvl w:val="1"/>
          <w:numId w:val="5"/>
        </w:numPr>
      </w:pPr>
      <w:r w:rsidRPr="00A330CA">
        <w:rPr>
          <w:i/>
          <w:iCs/>
        </w:rPr>
        <w:t>Carencia especial:</w:t>
      </w:r>
      <w:r w:rsidRPr="00A330CA">
        <w:t xml:space="preserve"> Los autónomos y entidades en régimen de atribución de rentas tendrán un margen adicional de </w:t>
      </w:r>
      <w:r w:rsidRPr="00A330CA">
        <w:rPr>
          <w:b/>
          <w:bCs/>
        </w:rPr>
        <w:t>12 meses adicionales</w:t>
      </w:r>
      <w:r w:rsidRPr="00A330CA">
        <w:t xml:space="preserve"> (un total de 36 meses desde el inicio) para cumplir con la obligación de informar sobre los estados de pago de la factura.</w:t>
      </w:r>
    </w:p>
    <w:p w14:paraId="4D6178FD" w14:textId="77777777" w:rsidR="00A330CA" w:rsidRPr="00A330CA" w:rsidRDefault="00A330CA" w:rsidP="00A330CA">
      <w:pPr>
        <w:rPr>
          <w:b/>
          <w:bCs/>
        </w:rPr>
      </w:pPr>
      <w:r w:rsidRPr="00A330CA">
        <w:rPr>
          <w:b/>
          <w:bCs/>
        </w:rPr>
        <w:t>Reglas para el cálculo del plazo de pago</w:t>
      </w:r>
    </w:p>
    <w:p w14:paraId="2F6B626B" w14:textId="77777777" w:rsidR="00A330CA" w:rsidRPr="00A330CA" w:rsidRDefault="00A330CA" w:rsidP="00A330CA">
      <w:r w:rsidRPr="00A330CA">
        <w:t xml:space="preserve">El Real Decreto vincula el sistema de facturación con la Ley de Morosidad. El plazo de pago comenzará a contar desde la </w:t>
      </w:r>
      <w:r w:rsidRPr="00A330CA">
        <w:rPr>
          <w:b/>
          <w:bCs/>
        </w:rPr>
        <w:t>recepción de la factura electrónica</w:t>
      </w:r>
      <w:r w:rsidRPr="00A330CA">
        <w:t xml:space="preserve"> por parte del destinatario. Si no se puede acreditar la fecha de recepción, se tomará como referencia la fecha de expedición que conste en el documento.</w:t>
      </w:r>
    </w:p>
    <w:p w14:paraId="45AB7AE9" w14:textId="77777777" w:rsidR="00A330CA" w:rsidRPr="00A330CA" w:rsidRDefault="00A330CA" w:rsidP="00A330CA">
      <w:r w:rsidRPr="00A330CA">
        <w:t>La Agencia Tributaria facilitará el acceso a esta información sobre plazos de pago al Ministerio de Economía y al Observatorio Estatal de la Morosidad Privada para la elaboración de estadísticas y el control del cumplimiento de los plazos legales de pago.</w:t>
      </w:r>
    </w:p>
    <w:p w14:paraId="36CE0B6C" w14:textId="77777777" w:rsidR="005839D8" w:rsidRDefault="005839D8"/>
    <w:sectPr w:rsidR="005839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7EB"/>
    <w:multiLevelType w:val="multilevel"/>
    <w:tmpl w:val="A97E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43FC"/>
    <w:multiLevelType w:val="multilevel"/>
    <w:tmpl w:val="BD0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E662D"/>
    <w:multiLevelType w:val="multilevel"/>
    <w:tmpl w:val="3572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744B4"/>
    <w:multiLevelType w:val="multilevel"/>
    <w:tmpl w:val="EE2A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74FC4"/>
    <w:multiLevelType w:val="multilevel"/>
    <w:tmpl w:val="9D76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368359">
    <w:abstractNumId w:val="0"/>
  </w:num>
  <w:num w:numId="2" w16cid:durableId="1137839768">
    <w:abstractNumId w:val="3"/>
  </w:num>
  <w:num w:numId="3" w16cid:durableId="1193231547">
    <w:abstractNumId w:val="1"/>
  </w:num>
  <w:num w:numId="4" w16cid:durableId="731269166">
    <w:abstractNumId w:val="4"/>
  </w:num>
  <w:num w:numId="5" w16cid:durableId="40229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CA"/>
    <w:rsid w:val="004F50A2"/>
    <w:rsid w:val="005839D8"/>
    <w:rsid w:val="00A330C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7D89"/>
  <w15:chartTrackingRefBased/>
  <w15:docId w15:val="{9E29E25A-FCA3-439E-B4F8-F7CDF09A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3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3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330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30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330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330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30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30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30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30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330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330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330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330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330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30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30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30CA"/>
    <w:rPr>
      <w:rFonts w:eastAsiaTheme="majorEastAsia" w:cstheme="majorBidi"/>
      <w:color w:val="272727" w:themeColor="text1" w:themeTint="D8"/>
    </w:rPr>
  </w:style>
  <w:style w:type="paragraph" w:styleId="Ttulo">
    <w:name w:val="Title"/>
    <w:basedOn w:val="Normal"/>
    <w:next w:val="Normal"/>
    <w:link w:val="TtuloCar"/>
    <w:uiPriority w:val="10"/>
    <w:qFormat/>
    <w:rsid w:val="00A33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30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30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30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30CA"/>
    <w:pPr>
      <w:spacing w:before="160"/>
      <w:jc w:val="center"/>
    </w:pPr>
    <w:rPr>
      <w:i/>
      <w:iCs/>
      <w:color w:val="404040" w:themeColor="text1" w:themeTint="BF"/>
    </w:rPr>
  </w:style>
  <w:style w:type="character" w:customStyle="1" w:styleId="CitaCar">
    <w:name w:val="Cita Car"/>
    <w:basedOn w:val="Fuentedeprrafopredeter"/>
    <w:link w:val="Cita"/>
    <w:uiPriority w:val="29"/>
    <w:rsid w:val="00A330CA"/>
    <w:rPr>
      <w:i/>
      <w:iCs/>
      <w:color w:val="404040" w:themeColor="text1" w:themeTint="BF"/>
    </w:rPr>
  </w:style>
  <w:style w:type="paragraph" w:styleId="Prrafodelista">
    <w:name w:val="List Paragraph"/>
    <w:basedOn w:val="Normal"/>
    <w:uiPriority w:val="34"/>
    <w:qFormat/>
    <w:rsid w:val="00A330CA"/>
    <w:pPr>
      <w:ind w:left="720"/>
      <w:contextualSpacing/>
    </w:pPr>
  </w:style>
  <w:style w:type="character" w:styleId="nfasisintenso">
    <w:name w:val="Intense Emphasis"/>
    <w:basedOn w:val="Fuentedeprrafopredeter"/>
    <w:uiPriority w:val="21"/>
    <w:qFormat/>
    <w:rsid w:val="00A330CA"/>
    <w:rPr>
      <w:i/>
      <w:iCs/>
      <w:color w:val="2F5496" w:themeColor="accent1" w:themeShade="BF"/>
    </w:rPr>
  </w:style>
  <w:style w:type="paragraph" w:styleId="Citadestacada">
    <w:name w:val="Intense Quote"/>
    <w:basedOn w:val="Normal"/>
    <w:next w:val="Normal"/>
    <w:link w:val="CitadestacadaCar"/>
    <w:uiPriority w:val="30"/>
    <w:qFormat/>
    <w:rsid w:val="00A33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30CA"/>
    <w:rPr>
      <w:i/>
      <w:iCs/>
      <w:color w:val="2F5496" w:themeColor="accent1" w:themeShade="BF"/>
    </w:rPr>
  </w:style>
  <w:style w:type="character" w:styleId="Referenciaintensa">
    <w:name w:val="Intense Reference"/>
    <w:basedOn w:val="Fuentedeprrafopredeter"/>
    <w:uiPriority w:val="32"/>
    <w:qFormat/>
    <w:rsid w:val="00A33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5097</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Barbe Garay</dc:creator>
  <cp:keywords/>
  <dc:description/>
  <cp:lastModifiedBy>Hector Barbe Garay</cp:lastModifiedBy>
  <cp:revision>1</cp:revision>
  <dcterms:created xsi:type="dcterms:W3CDTF">2026-04-02T08:11:00Z</dcterms:created>
  <dcterms:modified xsi:type="dcterms:W3CDTF">2026-04-02T08:13:00Z</dcterms:modified>
</cp:coreProperties>
</file>